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8472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6E17DE"/>
    <w:rsid w:val="00756723"/>
    <w:rsid w:val="008A35B8"/>
    <w:rsid w:val="008A4E28"/>
    <w:rsid w:val="00A10D81"/>
    <w:rsid w:val="00C130AC"/>
    <w:rsid w:val="00D26E47"/>
    <w:rsid w:val="00EC7A89"/>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2025-07-25T08:10:00Z</dcterms:modified>
</cp:coreProperties>
</file>